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c="http://schemas.openxmlformats.org/drawingml/2006/chart" mc:Ignorable="w14 w15 w16se w16cid w16 w16cex w16sdtdh w16sdtfl w16du wp14">
  <w:body>
    <w:p w:rsidR="00A1781A" w:rsidP="685F8C5C" w:rsidRDefault="005D45E9" w14:paraId="26ADEAD8" w14:textId="510FD5F3">
      <w:pPr>
        <w:pStyle w:val="Normal"/>
      </w:pPr>
      <w:r w:rsidR="005D45E9">
        <w:drawing>
          <wp:anchor distT="0" distB="0" distL="114300" distR="114300" simplePos="0" relativeHeight="251658240" behindDoc="0" locked="0" layoutInCell="1" allowOverlap="1" wp14:editId="6F43BB4F" wp14:anchorId="6415D0AB">
            <wp:simplePos x="0" y="0"/>
            <wp:positionH relativeFrom="column">
              <wp:align>right</wp:align>
            </wp:positionH>
            <wp:positionV relativeFrom="paragraph">
              <wp:posOffset>0</wp:posOffset>
            </wp:positionV>
            <wp:extent cx="2355616" cy="397014"/>
            <wp:effectExtent l="0" t="0" r="0" b="0"/>
            <wp:wrapSquare wrapText="bothSides"/>
            <wp:docPr id="1418958172" name="Picture 1" descr="Logo for the CUNY School of Labor and Urban Studies"/>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7600902" name="Picture 1" descr="Logo for the CUNY School of Labor and Urban Studies"/>
                    <pic:cNvPicPr>
                      <a:picLocks noChangeAspect="1" noChangeArrowheads="1"/>
                    </pic:cNvPicPr>
                  </pic:nvPicPr>
                  <pic:blipFill>
                    <a:blip xmlns:r="http://schemas.openxmlformats.org/officeDocument/2006/relationships" r:embed="rId5" cstate="print">
                      <a:extLst>
                        <a:ext uri="{28A0092B-C50C-407E-A947-70E740481C1C}">
                          <a14:useLocalDpi xmlns:a14="http://schemas.microsoft.com/office/drawing/2010/main"/>
                        </a:ext>
                      </a:extLst>
                    </a:blip>
                    <a:srcRect/>
                    <a:stretch>
                      <a:fillRect/>
                    </a:stretch>
                  </pic:blipFill>
                  <pic:spPr bwMode="auto">
                    <a:xfrm rot="0">
                      <a:off x="0" y="0"/>
                      <a:ext cx="2355616" cy="397014"/>
                    </a:xfrm>
                    <a:prstGeom prst="rect">
                      <a:avLst/>
                    </a:prstGeom>
                    <a:noFill/>
                    <a:ln>
                      <a:noFill/>
                    </a:ln>
                  </pic:spPr>
                </pic:pic>
              </a:graphicData>
            </a:graphic>
            <wp14:sizeRelH relativeFrom="page">
              <wp14:pctWidth>0</wp14:pctWidth>
            </wp14:sizeRelH>
            <wp14:sizeRelV relativeFrom="page">
              <wp14:pctHeight>0</wp14:pctHeight>
            </wp14:sizeRelV>
          </wp:anchor>
        </w:drawing>
      </w:r>
      <w:r w:rsidRPr="685F8C5C" w:rsidR="005D45E9">
        <w:rPr>
          <w:rStyle w:val="Heading1Char"/>
          <w:rFonts w:ascii="TT Commons Pro Black" w:hAnsi="TT Commons Pro Black" w:eastAsia="TT Commons Pro Black" w:cs="TT Commons Pro Black"/>
        </w:rPr>
        <w:t xml:space="preserve">Writing Great Alt</w:t>
      </w:r>
      <w:r w:rsidRPr="685F8C5C" w:rsidR="0060327C">
        <w:rPr>
          <w:rStyle w:val="Heading1Char"/>
          <w:rFonts w:ascii="TT Commons Pro Black" w:hAnsi="TT Commons Pro Black" w:eastAsia="TT Commons Pro Black" w:cs="TT Commons Pro Black"/>
        </w:rPr>
        <w:t xml:space="preserve"> </w:t>
      </w:r>
      <w:r w:rsidRPr="685F8C5C" w:rsidR="005D45E9">
        <w:rPr>
          <w:rStyle w:val="Heading1Char"/>
          <w:rFonts w:ascii="TT Commons Pro Black" w:hAnsi="TT Commons Pro Black" w:eastAsia="TT Commons Pro Black" w:cs="TT Commons Pro Black"/>
        </w:rPr>
        <w:t xml:space="preserve">Text</w:t>
      </w:r>
      <w:r w:rsidRPr="685F8C5C" w:rsidR="00DF7C12">
        <w:rPr>
          <w:rFonts w:ascii="TT Commons Pro Black" w:hAnsi="TT Commons Pro Black" w:cs="TT Commons Pro Black"/>
        </w:rPr>
        <w:t xml:space="preserve"> </w:t>
      </w:r>
    </w:p>
    <w:p w:rsidR="00DF7C12" w:rsidP="00DF7C12" w:rsidRDefault="2969D4DC" w14:paraId="511033CD" w14:textId="672E5C86">
      <w:pPr>
        <w:rPr>
          <w:rFonts w:ascii="TT Commons Pro" w:hAnsi="TT Commons Pro" w:cs="TT Commons Pro"/>
        </w:rPr>
      </w:pPr>
      <w:r w:rsidRPr="57C080EE">
        <w:rPr>
          <w:rFonts w:ascii="TT Commons Pro" w:hAnsi="TT Commons Pro" w:cs="TT Commons Pro"/>
        </w:rPr>
        <w:t xml:space="preserve">Digital content often uses images and figures to convey meaning or add visual appeal to a page. In most </w:t>
      </w:r>
      <w:r w:rsidRPr="57C080EE" w:rsidR="6033A9A7">
        <w:rPr>
          <w:rFonts w:ascii="TT Commons Pro" w:hAnsi="TT Commons Pro" w:cs="TT Commons Pro"/>
        </w:rPr>
        <w:t>situations,</w:t>
      </w:r>
      <w:r w:rsidRPr="57C080EE">
        <w:rPr>
          <w:rFonts w:ascii="TT Commons Pro" w:hAnsi="TT Commons Pro" w:cs="TT Commons Pro"/>
        </w:rPr>
        <w:t xml:space="preserve"> it is important to add alternative text to visual components </w:t>
      </w:r>
      <w:r w:rsidRPr="57C080EE" w:rsidR="78AF6651">
        <w:rPr>
          <w:rFonts w:ascii="TT Commons Pro" w:hAnsi="TT Commons Pro" w:cs="TT Commons Pro"/>
        </w:rPr>
        <w:t xml:space="preserve">for those using screen readers or anyone </w:t>
      </w:r>
      <w:r w:rsidRPr="57C080EE" w:rsidR="5DE40215">
        <w:rPr>
          <w:rFonts w:ascii="TT Commons Pro" w:hAnsi="TT Commons Pro" w:cs="TT Commons Pro"/>
        </w:rPr>
        <w:t xml:space="preserve">else who is </w:t>
      </w:r>
      <w:r w:rsidRPr="57C080EE" w:rsidR="78AF6651">
        <w:rPr>
          <w:rFonts w:ascii="TT Commons Pro" w:hAnsi="TT Commons Pro" w:cs="TT Commons Pro"/>
        </w:rPr>
        <w:t>unable to access them.</w:t>
      </w:r>
    </w:p>
    <w:p w:rsidR="00DA0DA2" w:rsidP="003023E0" w:rsidRDefault="003023E0" w14:paraId="770C23CC" w14:textId="1B74AD52">
      <w:pPr>
        <w:pStyle w:val="Heading2"/>
        <w:rPr>
          <w:rFonts w:ascii="TT Commons Pro Black" w:hAnsi="TT Commons Pro Black" w:cs="TT Commons Pro Black"/>
        </w:rPr>
      </w:pPr>
      <w:r>
        <w:rPr>
          <w:rFonts w:ascii="TT Commons Pro Black" w:hAnsi="TT Commons Pro Black" w:cs="TT Commons Pro Black"/>
        </w:rPr>
        <w:t>Deciding whether to add Alt</w:t>
      </w:r>
      <w:r w:rsidR="00827570">
        <w:rPr>
          <w:rFonts w:ascii="TT Commons Pro Black" w:hAnsi="TT Commons Pro Black" w:cs="TT Commons Pro Black"/>
        </w:rPr>
        <w:t xml:space="preserve">ernative </w:t>
      </w:r>
      <w:r w:rsidR="00800C56">
        <w:rPr>
          <w:rFonts w:ascii="TT Commons Pro Black" w:hAnsi="TT Commons Pro Black" w:cs="TT Commons Pro Black"/>
        </w:rPr>
        <w:t>t</w:t>
      </w:r>
      <w:r w:rsidR="00827570">
        <w:rPr>
          <w:rFonts w:ascii="TT Commons Pro Black" w:hAnsi="TT Commons Pro Black" w:cs="TT Commons Pro Black"/>
        </w:rPr>
        <w:t>ext</w:t>
      </w:r>
    </w:p>
    <w:p w:rsidR="00827570" w:rsidP="00827570" w:rsidRDefault="008C2561" w14:paraId="1171D8D3" w14:textId="54F83A4F">
      <w:pPr>
        <w:rPr>
          <w:rFonts w:ascii="TT Commons Pro" w:hAnsi="TT Commons Pro" w:cs="TT Commons Pro"/>
        </w:rPr>
      </w:pPr>
      <w:r>
        <w:rPr>
          <w:rFonts w:ascii="TT Commons Pro" w:hAnsi="TT Commons Pro" w:cs="TT Commons Pro"/>
        </w:rPr>
        <w:t>A</w:t>
      </w:r>
      <w:r w:rsidR="007635EF">
        <w:rPr>
          <w:rFonts w:ascii="TT Commons Pro" w:hAnsi="TT Commons Pro" w:cs="TT Commons Pro"/>
        </w:rPr>
        <w:t>dding alt</w:t>
      </w:r>
      <w:r w:rsidR="0060327C">
        <w:rPr>
          <w:rFonts w:ascii="TT Commons Pro" w:hAnsi="TT Commons Pro" w:cs="TT Commons Pro"/>
        </w:rPr>
        <w:t xml:space="preserve"> </w:t>
      </w:r>
      <w:r w:rsidR="007635EF">
        <w:rPr>
          <w:rFonts w:ascii="TT Commons Pro" w:hAnsi="TT Commons Pro" w:cs="TT Commons Pro"/>
        </w:rPr>
        <w:t>text to images is appropriate</w:t>
      </w:r>
      <w:r w:rsidR="00C87419">
        <w:rPr>
          <w:rFonts w:ascii="TT Commons Pro" w:hAnsi="TT Commons Pro" w:cs="TT Commons Pro"/>
        </w:rPr>
        <w:t xml:space="preserve"> </w:t>
      </w:r>
      <w:r w:rsidRPr="00EE5528" w:rsidR="00C87419">
        <w:rPr>
          <w:rFonts w:ascii="TT Commons Pro" w:hAnsi="TT Commons Pro" w:cs="TT Commons Pro"/>
          <w:b/>
          <w:bCs/>
        </w:rPr>
        <w:t>except</w:t>
      </w:r>
      <w:r w:rsidR="00C87419">
        <w:rPr>
          <w:rFonts w:ascii="TT Commons Pro" w:hAnsi="TT Commons Pro" w:cs="TT Commons Pro"/>
        </w:rPr>
        <w:t xml:space="preserve"> when</w:t>
      </w:r>
      <w:r w:rsidR="00B0643A">
        <w:rPr>
          <w:rFonts w:ascii="TT Commons Pro" w:hAnsi="TT Commons Pro" w:cs="TT Commons Pro"/>
        </w:rPr>
        <w:t xml:space="preserve"> the image is de</w:t>
      </w:r>
      <w:r w:rsidR="00571D2E">
        <w:rPr>
          <w:rFonts w:ascii="TT Commons Pro" w:hAnsi="TT Commons Pro" w:cs="TT Commons Pro"/>
        </w:rPr>
        <w:t xml:space="preserve">corative. </w:t>
      </w:r>
      <w:r w:rsidR="00BA0535">
        <w:rPr>
          <w:rFonts w:ascii="TT Commons Pro" w:hAnsi="TT Commons Pro" w:cs="TT Commons Pro"/>
        </w:rPr>
        <w:t>Ask yourself these questions:</w:t>
      </w:r>
    </w:p>
    <w:p w:rsidR="009B3A93" w:rsidP="000354A7" w:rsidRDefault="00734079" w14:paraId="45CF0EBC" w14:textId="02B42C37">
      <w:pPr>
        <w:pStyle w:val="ListParagraph"/>
        <w:numPr>
          <w:ilvl w:val="0"/>
          <w:numId w:val="2"/>
        </w:numPr>
        <w:rPr>
          <w:rFonts w:ascii="TT Commons Pro" w:hAnsi="TT Commons Pro" w:cs="TT Commons Pro"/>
        </w:rPr>
      </w:pPr>
      <w:r>
        <w:rPr>
          <w:rFonts w:ascii="TT Commons Pro" w:hAnsi="TT Commons Pro" w:cs="TT Commons Pro"/>
        </w:rPr>
        <w:t>Is the image functional? (Buttons, Links)</w:t>
      </w:r>
    </w:p>
    <w:p w:rsidR="00734079" w:rsidP="000354A7" w:rsidRDefault="00E41FB3" w14:paraId="057DF2AA" w14:textId="52DFE7C1">
      <w:pPr>
        <w:pStyle w:val="ListParagraph"/>
        <w:numPr>
          <w:ilvl w:val="0"/>
          <w:numId w:val="2"/>
        </w:numPr>
        <w:rPr>
          <w:rFonts w:ascii="TT Commons Pro" w:hAnsi="TT Commons Pro" w:cs="TT Commons Pro"/>
        </w:rPr>
      </w:pPr>
      <w:r>
        <w:rPr>
          <w:rFonts w:ascii="TT Commons Pro" w:hAnsi="TT Commons Pro" w:cs="TT Commons Pro"/>
        </w:rPr>
        <w:t>Does the image provide information?</w:t>
      </w:r>
    </w:p>
    <w:p w:rsidR="00E41FB3" w:rsidP="000354A7" w:rsidRDefault="00E41FB3" w14:paraId="68ECE487" w14:textId="33067BAA">
      <w:pPr>
        <w:pStyle w:val="ListParagraph"/>
        <w:numPr>
          <w:ilvl w:val="0"/>
          <w:numId w:val="2"/>
        </w:numPr>
        <w:rPr>
          <w:rFonts w:ascii="TT Commons Pro" w:hAnsi="TT Commons Pro" w:cs="TT Commons Pro"/>
        </w:rPr>
      </w:pPr>
      <w:r>
        <w:rPr>
          <w:rFonts w:ascii="TT Commons Pro" w:hAnsi="TT Commons Pro" w:cs="TT Commons Pro"/>
        </w:rPr>
        <w:t>Does the image contain text?</w:t>
      </w:r>
    </w:p>
    <w:p w:rsidR="00BC1204" w:rsidP="000354A7" w:rsidRDefault="00BC1204" w14:paraId="6D64AF22" w14:textId="7F310469">
      <w:pPr>
        <w:pStyle w:val="ListParagraph"/>
        <w:numPr>
          <w:ilvl w:val="0"/>
          <w:numId w:val="2"/>
        </w:numPr>
        <w:rPr>
          <w:rFonts w:ascii="TT Commons Pro" w:hAnsi="TT Commons Pro" w:cs="TT Commons Pro"/>
        </w:rPr>
      </w:pPr>
      <w:r>
        <w:rPr>
          <w:rFonts w:ascii="TT Commons Pro" w:hAnsi="TT Commons Pro" w:cs="TT Commons Pro"/>
        </w:rPr>
        <w:t>Is the image a complex figure? (Graphs, charts</w:t>
      </w:r>
      <w:r w:rsidR="007A3FC4">
        <w:rPr>
          <w:rFonts w:ascii="TT Commons Pro" w:hAnsi="TT Commons Pro" w:cs="TT Commons Pro"/>
        </w:rPr>
        <w:t>)</w:t>
      </w:r>
    </w:p>
    <w:p w:rsidRPr="007A3FC4" w:rsidR="007A3FC4" w:rsidP="007A3FC4" w:rsidRDefault="007A3FC4" w14:paraId="3FDA4F90" w14:textId="51E1CE00">
      <w:pPr>
        <w:rPr>
          <w:rFonts w:ascii="TT Commons Pro" w:hAnsi="TT Commons Pro" w:cs="TT Commons Pro"/>
        </w:rPr>
      </w:pPr>
      <w:r>
        <w:rPr>
          <w:rFonts w:ascii="TT Commons Pro" w:hAnsi="TT Commons Pro" w:cs="TT Commons Pro"/>
        </w:rPr>
        <w:t>If you answered yes</w:t>
      </w:r>
      <w:r w:rsidR="005C627E">
        <w:rPr>
          <w:rFonts w:ascii="TT Commons Pro" w:hAnsi="TT Commons Pro" w:cs="TT Commons Pro"/>
        </w:rPr>
        <w:t xml:space="preserve"> to any of these questions</w:t>
      </w:r>
      <w:r w:rsidR="00BA0535">
        <w:rPr>
          <w:rFonts w:ascii="TT Commons Pro" w:hAnsi="TT Commons Pro" w:cs="TT Commons Pro"/>
        </w:rPr>
        <w:t>,</w:t>
      </w:r>
      <w:r w:rsidR="005C627E">
        <w:rPr>
          <w:rFonts w:ascii="TT Commons Pro" w:hAnsi="TT Commons Pro" w:cs="TT Commons Pro"/>
        </w:rPr>
        <w:t xml:space="preserve"> the image</w:t>
      </w:r>
      <w:r w:rsidR="00CD1BC7">
        <w:rPr>
          <w:rFonts w:ascii="TT Commons Pro" w:hAnsi="TT Commons Pro" w:cs="TT Commons Pro"/>
        </w:rPr>
        <w:t xml:space="preserve"> requires alternative text.</w:t>
      </w:r>
      <w:r w:rsidR="007C37B1">
        <w:rPr>
          <w:rFonts w:ascii="TT Commons Pro" w:hAnsi="TT Commons Pro" w:cs="TT Commons Pro"/>
        </w:rPr>
        <w:t xml:space="preserve"> </w:t>
      </w:r>
      <w:r w:rsidR="002D430C">
        <w:rPr>
          <w:rFonts w:ascii="TT Commons Pro" w:hAnsi="TT Commons Pro" w:cs="TT Commons Pro"/>
        </w:rPr>
        <w:t>Otherwise, mark the image as decorative.</w:t>
      </w:r>
    </w:p>
    <w:p w:rsidR="005A5C7C" w:rsidP="002F5BB3" w:rsidRDefault="002B7D38" w14:paraId="39255AFB" w14:textId="32ADFCA3">
      <w:pPr>
        <w:pStyle w:val="Heading2"/>
        <w:rPr>
          <w:rFonts w:ascii="TT Commons Pro Black" w:hAnsi="TT Commons Pro Black" w:cs="TT Commons Pro Black"/>
        </w:rPr>
      </w:pPr>
      <w:r>
        <w:rPr>
          <w:rFonts w:ascii="TT Commons Pro Black" w:hAnsi="TT Commons Pro Black" w:cs="TT Commons Pro Black"/>
        </w:rPr>
        <w:t>Context over desc</w:t>
      </w:r>
      <w:r w:rsidR="00745758">
        <w:rPr>
          <w:rFonts w:ascii="TT Commons Pro Black" w:hAnsi="TT Commons Pro Black" w:cs="TT Commons Pro Black"/>
        </w:rPr>
        <w:t>ription</w:t>
      </w:r>
    </w:p>
    <w:p w:rsidR="00A041AF" w:rsidP="00A041AF" w:rsidRDefault="00A041AF" w14:paraId="71709205" w14:textId="31BE57B8">
      <w:pPr>
        <w:rPr>
          <w:rFonts w:ascii="TT Commons Pro" w:hAnsi="TT Commons Pro" w:cs="TT Commons Pro"/>
        </w:rPr>
      </w:pPr>
      <w:r>
        <w:rPr>
          <w:rFonts w:ascii="TT Commons Pro" w:hAnsi="TT Commons Pro" w:cs="TT Commons Pro"/>
        </w:rPr>
        <w:t>Your alt text should be no more than 2-3 sentences long. If it exceeds that length, you may be adding too many details.</w:t>
      </w:r>
    </w:p>
    <w:p w:rsidR="00745758" w:rsidP="00745758" w:rsidRDefault="4C35BD1A" w14:paraId="3F43E5DC" w14:textId="4CBF0519">
      <w:pPr>
        <w:rPr>
          <w:rFonts w:ascii="TT Commons Pro" w:hAnsi="TT Commons Pro" w:cs="TT Commons Pro"/>
        </w:rPr>
      </w:pPr>
      <w:r w:rsidRPr="57C080EE">
        <w:rPr>
          <w:rFonts w:ascii="TT Commons Pro" w:hAnsi="TT Commons Pro" w:cs="TT Commons Pro"/>
        </w:rPr>
        <w:t xml:space="preserve">When adding alt text to </w:t>
      </w:r>
      <w:r w:rsidRPr="57C080EE" w:rsidR="09047806">
        <w:rPr>
          <w:rFonts w:ascii="TT Commons Pro" w:hAnsi="TT Commons Pro" w:cs="TT Commons Pro"/>
        </w:rPr>
        <w:t>images,</w:t>
      </w:r>
      <w:r w:rsidRPr="57C080EE">
        <w:rPr>
          <w:rFonts w:ascii="TT Commons Pro" w:hAnsi="TT Commons Pro" w:cs="TT Commons Pro"/>
        </w:rPr>
        <w:t xml:space="preserve"> </w:t>
      </w:r>
      <w:r w:rsidRPr="57C080EE" w:rsidR="1DD3AD5D">
        <w:rPr>
          <w:rFonts w:ascii="TT Commons Pro" w:hAnsi="TT Commons Pro" w:cs="TT Commons Pro"/>
        </w:rPr>
        <w:t>your goal is to convey</w:t>
      </w:r>
      <w:r w:rsidRPr="57C080EE" w:rsidR="7D83A47F">
        <w:rPr>
          <w:rFonts w:ascii="TT Commons Pro" w:hAnsi="TT Commons Pro" w:cs="TT Commons Pro"/>
        </w:rPr>
        <w:t xml:space="preserve"> th</w:t>
      </w:r>
      <w:r w:rsidRPr="57C080EE" w:rsidR="54E255AA">
        <w:rPr>
          <w:rFonts w:ascii="TT Commons Pro" w:hAnsi="TT Commons Pro" w:cs="TT Commons Pro"/>
        </w:rPr>
        <w:t>e</w:t>
      </w:r>
      <w:r w:rsidRPr="57C080EE" w:rsidR="725ED2A1">
        <w:rPr>
          <w:rFonts w:ascii="TT Commons Pro" w:hAnsi="TT Commons Pro" w:cs="TT Commons Pro"/>
        </w:rPr>
        <w:t xml:space="preserve"> meaning you want you</w:t>
      </w:r>
      <w:r w:rsidRPr="57C080EE" w:rsidR="0AAC3117">
        <w:rPr>
          <w:rFonts w:ascii="TT Commons Pro" w:hAnsi="TT Commons Pro" w:cs="TT Commons Pro"/>
        </w:rPr>
        <w:t>r audience to get</w:t>
      </w:r>
      <w:r w:rsidRPr="57C080EE" w:rsidR="64C49922">
        <w:rPr>
          <w:rFonts w:ascii="TT Commons Pro" w:hAnsi="TT Commons Pro" w:cs="TT Commons Pro"/>
        </w:rPr>
        <w:t xml:space="preserve"> not to describe every detail in the photo. </w:t>
      </w:r>
    </w:p>
    <w:p w:rsidR="00377218" w:rsidP="00745758" w:rsidRDefault="00377218" w14:paraId="327CC98A" w14:textId="1C307120">
      <w:pPr>
        <w:rPr>
          <w:rFonts w:ascii="TT Commons Pro" w:hAnsi="TT Commons Pro" w:cs="TT Commons Pro"/>
        </w:rPr>
      </w:pPr>
      <w:r>
        <w:rPr>
          <w:rFonts w:ascii="TT Commons Pro" w:hAnsi="TT Commons Pro" w:cs="TT Commons Pro"/>
          <w:noProof/>
        </w:rPr>
        <w:drawing>
          <wp:inline distT="0" distB="0" distL="0" distR="0" wp14:anchorId="0970983E" wp14:editId="68999534">
            <wp:extent cx="4978400" cy="2292350"/>
            <wp:effectExtent l="0" t="0" r="12700" b="12700"/>
            <wp:docPr id="2037034535" name="Chart 2" descr="Bar chart showing enrollment increasing from 2019 to 202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Pr="00D66023" w:rsidR="002202D7" w:rsidP="00745758" w:rsidRDefault="0038605A" w14:paraId="1386D5BC" w14:textId="238F4EB5">
      <w:pPr>
        <w:rPr>
          <w:rFonts w:ascii="TT Commons Pro" w:hAnsi="TT Commons Pro" w:cs="TT Commons Pro"/>
          <w:i/>
          <w:iCs/>
        </w:rPr>
      </w:pPr>
      <w:r w:rsidRPr="00D66023">
        <w:rPr>
          <w:rFonts w:ascii="TT Commons Pro" w:hAnsi="TT Commons Pro" w:cs="TT Commons Pro"/>
          <w:i/>
          <w:iCs/>
        </w:rPr>
        <w:lastRenderedPageBreak/>
        <w:t>Not i</w:t>
      </w:r>
      <w:r w:rsidRPr="00D66023" w:rsidR="007F4C46">
        <w:rPr>
          <w:rFonts w:ascii="TT Commons Pro" w:hAnsi="TT Commons Pro" w:cs="TT Commons Pro"/>
          <w:i/>
          <w:iCs/>
        </w:rPr>
        <w:t>deal:</w:t>
      </w:r>
      <w:r w:rsidRPr="00D66023">
        <w:rPr>
          <w:rFonts w:ascii="TT Commons Pro" w:hAnsi="TT Commons Pro" w:cs="TT Commons Pro"/>
          <w:i/>
          <w:iCs/>
        </w:rPr>
        <w:t xml:space="preserve"> </w:t>
      </w:r>
      <w:r w:rsidRPr="00D66023" w:rsidR="00E050CC">
        <w:rPr>
          <w:rFonts w:ascii="TT Commons Pro" w:hAnsi="TT Commons Pro" w:cs="TT Commons Pro"/>
          <w:i/>
          <w:iCs/>
        </w:rPr>
        <w:t xml:space="preserve">blue </w:t>
      </w:r>
      <w:r w:rsidRPr="00D66023">
        <w:rPr>
          <w:rFonts w:ascii="TT Commons Pro" w:hAnsi="TT Commons Pro" w:cs="TT Commons Pro"/>
          <w:i/>
          <w:iCs/>
        </w:rPr>
        <w:t>ba</w:t>
      </w:r>
      <w:r w:rsidRPr="00D66023" w:rsidR="00965946">
        <w:rPr>
          <w:rFonts w:ascii="TT Commons Pro" w:hAnsi="TT Commons Pro" w:cs="TT Commons Pro"/>
          <w:i/>
          <w:iCs/>
        </w:rPr>
        <w:t xml:space="preserve">r chart titled “Enrollment </w:t>
      </w:r>
      <w:r w:rsidR="008F3CB0">
        <w:rPr>
          <w:rFonts w:ascii="TT Commons Pro" w:hAnsi="TT Commons Pro" w:cs="TT Commons Pro"/>
          <w:i/>
          <w:iCs/>
        </w:rPr>
        <w:t>Numbers</w:t>
      </w:r>
      <w:r w:rsidRPr="00D66023" w:rsidR="00965946">
        <w:rPr>
          <w:rFonts w:ascii="TT Commons Pro" w:hAnsi="TT Commons Pro" w:cs="TT Commons Pro"/>
          <w:i/>
          <w:iCs/>
        </w:rPr>
        <w:t xml:space="preserve"> (2019-202</w:t>
      </w:r>
      <w:r w:rsidR="009D10A1">
        <w:rPr>
          <w:rFonts w:ascii="TT Commons Pro" w:hAnsi="TT Commons Pro" w:cs="TT Commons Pro"/>
          <w:i/>
          <w:iCs/>
        </w:rPr>
        <w:t>3</w:t>
      </w:r>
      <w:r w:rsidRPr="00D66023" w:rsidR="00965946">
        <w:rPr>
          <w:rFonts w:ascii="TT Commons Pro" w:hAnsi="TT Commons Pro" w:cs="TT Commons Pro"/>
          <w:i/>
          <w:iCs/>
        </w:rPr>
        <w:t>)</w:t>
      </w:r>
      <w:r w:rsidRPr="00D66023" w:rsidR="00AD2EC3">
        <w:rPr>
          <w:rFonts w:ascii="TT Commons Pro" w:hAnsi="TT Commons Pro" w:cs="TT Commons Pro"/>
          <w:i/>
          <w:iCs/>
        </w:rPr>
        <w:t>”</w:t>
      </w:r>
      <w:r w:rsidRPr="00D66023" w:rsidR="00E050CC">
        <w:rPr>
          <w:rFonts w:ascii="TT Commons Pro" w:hAnsi="TT Commons Pro" w:cs="TT Commons Pro"/>
          <w:i/>
          <w:iCs/>
        </w:rPr>
        <w:t xml:space="preserve"> with “Year” as x-axis and </w:t>
      </w:r>
      <w:r w:rsidRPr="00D66023" w:rsidR="0033379D">
        <w:rPr>
          <w:rFonts w:ascii="TT Commons Pro" w:hAnsi="TT Commons Pro" w:cs="TT Commons Pro"/>
          <w:i/>
          <w:iCs/>
        </w:rPr>
        <w:t xml:space="preserve">“Enrollment” as y-axis. </w:t>
      </w:r>
      <w:r w:rsidRPr="00D66023" w:rsidR="00AD1FCB">
        <w:rPr>
          <w:rFonts w:ascii="TT Commons Pro" w:hAnsi="TT Commons Pro" w:cs="TT Commons Pro"/>
          <w:i/>
          <w:iCs/>
        </w:rPr>
        <w:t xml:space="preserve">Year 2019 </w:t>
      </w:r>
      <w:r w:rsidRPr="00D66023" w:rsidR="008C1CB6">
        <w:rPr>
          <w:rFonts w:ascii="TT Commons Pro" w:hAnsi="TT Commons Pro" w:cs="TT Commons Pro"/>
          <w:i/>
          <w:iCs/>
        </w:rPr>
        <w:t>had 120 enrollees, year</w:t>
      </w:r>
      <w:r w:rsidRPr="00D66023" w:rsidR="00987E51">
        <w:rPr>
          <w:rFonts w:ascii="TT Commons Pro" w:hAnsi="TT Commons Pro" w:cs="TT Commons Pro"/>
          <w:i/>
          <w:iCs/>
        </w:rPr>
        <w:t xml:space="preserve"> 2020 had 135 enrollees</w:t>
      </w:r>
      <w:r w:rsidRPr="00D66023" w:rsidR="00C347D7">
        <w:rPr>
          <w:rFonts w:ascii="TT Commons Pro" w:hAnsi="TT Commons Pro" w:cs="TT Commons Pro"/>
          <w:i/>
          <w:iCs/>
        </w:rPr>
        <w:t>, year 2021 had</w:t>
      </w:r>
      <w:r w:rsidRPr="00D66023" w:rsidR="00B2441F">
        <w:rPr>
          <w:rFonts w:ascii="TT Commons Pro" w:hAnsi="TT Commons Pro" w:cs="TT Commons Pro"/>
          <w:i/>
          <w:iCs/>
        </w:rPr>
        <w:t xml:space="preserve"> 145 enrollees, etc</w:t>
      </w:r>
      <w:r w:rsidRPr="00D66023" w:rsidR="00AD2EC3">
        <w:rPr>
          <w:rFonts w:ascii="TT Commons Pro" w:hAnsi="TT Commons Pro" w:cs="TT Commons Pro"/>
          <w:i/>
          <w:iCs/>
        </w:rPr>
        <w:t>.</w:t>
      </w:r>
    </w:p>
    <w:p w:rsidRPr="00D66023" w:rsidR="00AD2EC3" w:rsidP="00745758" w:rsidRDefault="00AD2EC3" w14:paraId="73F23914" w14:textId="68D39B5A">
      <w:pPr>
        <w:rPr>
          <w:rFonts w:ascii="TT Commons Pro" w:hAnsi="TT Commons Pro" w:cs="TT Commons Pro"/>
          <w:i/>
          <w:iCs/>
        </w:rPr>
      </w:pPr>
      <w:r w:rsidRPr="00D66023">
        <w:rPr>
          <w:rFonts w:ascii="TT Commons Pro" w:hAnsi="TT Commons Pro" w:cs="TT Commons Pro"/>
          <w:i/>
          <w:iCs/>
        </w:rPr>
        <w:t>Idea</w:t>
      </w:r>
      <w:r w:rsidR="00E72CB4">
        <w:rPr>
          <w:rFonts w:ascii="TT Commons Pro" w:hAnsi="TT Commons Pro" w:cs="TT Commons Pro"/>
          <w:i/>
          <w:iCs/>
        </w:rPr>
        <w:t>l</w:t>
      </w:r>
      <w:r w:rsidRPr="00D66023">
        <w:rPr>
          <w:rFonts w:ascii="TT Commons Pro" w:hAnsi="TT Commons Pro" w:cs="TT Commons Pro"/>
          <w:i/>
          <w:iCs/>
        </w:rPr>
        <w:t xml:space="preserve">: Bar chart showing enrollment </w:t>
      </w:r>
      <w:r w:rsidR="006826D1">
        <w:rPr>
          <w:rFonts w:ascii="TT Commons Pro" w:hAnsi="TT Commons Pro" w:cs="TT Commons Pro"/>
          <w:i/>
          <w:iCs/>
        </w:rPr>
        <w:t xml:space="preserve">steadily </w:t>
      </w:r>
      <w:r w:rsidRPr="00D66023">
        <w:rPr>
          <w:rFonts w:ascii="TT Commons Pro" w:hAnsi="TT Commons Pro" w:cs="TT Commons Pro"/>
          <w:i/>
          <w:iCs/>
        </w:rPr>
        <w:t>increasing from 2019</w:t>
      </w:r>
      <w:r w:rsidRPr="00D66023" w:rsidR="00D66023">
        <w:rPr>
          <w:rFonts w:ascii="TT Commons Pro" w:hAnsi="TT Commons Pro" w:cs="TT Commons Pro"/>
          <w:i/>
          <w:iCs/>
        </w:rPr>
        <w:t xml:space="preserve"> to 202</w:t>
      </w:r>
      <w:r w:rsidR="009D10A1">
        <w:rPr>
          <w:rFonts w:ascii="TT Commons Pro" w:hAnsi="TT Commons Pro" w:cs="TT Commons Pro"/>
          <w:i/>
          <w:iCs/>
        </w:rPr>
        <w:t>3</w:t>
      </w:r>
      <w:r w:rsidRPr="00D66023" w:rsidR="00D66023">
        <w:rPr>
          <w:rFonts w:ascii="TT Commons Pro" w:hAnsi="TT Commons Pro" w:cs="TT Commons Pro"/>
          <w:i/>
          <w:iCs/>
        </w:rPr>
        <w:t>.</w:t>
      </w:r>
    </w:p>
    <w:p w:rsidR="009905DA" w:rsidP="0036674C" w:rsidRDefault="00800C56" w14:paraId="599A84BB" w14:textId="797C65AE">
      <w:pPr>
        <w:pStyle w:val="Heading2"/>
        <w:rPr>
          <w:rFonts w:ascii="TT Commons Pro Black" w:hAnsi="TT Commons Pro Black" w:cs="TT Commons Pro Black"/>
        </w:rPr>
      </w:pPr>
      <w:r>
        <w:rPr>
          <w:rFonts w:ascii="TT Commons Pro Black" w:hAnsi="TT Commons Pro Black" w:cs="TT Commons Pro Black"/>
        </w:rPr>
        <w:t>Images containing text</w:t>
      </w:r>
    </w:p>
    <w:p w:rsidR="00656CD6" w:rsidP="00827570" w:rsidRDefault="00C61490" w14:paraId="3A5B52C4" w14:textId="7FBE1AA6">
      <w:pPr>
        <w:rPr>
          <w:rFonts w:ascii="TT Commons Pro" w:hAnsi="TT Commons Pro" w:cs="TT Commons Pro"/>
        </w:rPr>
      </w:pPr>
      <w:r>
        <w:rPr>
          <w:rFonts w:ascii="TT Commons Pro" w:hAnsi="TT Commons Pro" w:cs="TT Commons Pro"/>
        </w:rPr>
        <w:t xml:space="preserve">In general, </w:t>
      </w:r>
      <w:r w:rsidR="007003C1">
        <w:rPr>
          <w:rFonts w:ascii="TT Commons Pro" w:hAnsi="TT Commons Pro" w:cs="TT Commons Pro"/>
        </w:rPr>
        <w:t xml:space="preserve">it’s a good idea to include </w:t>
      </w:r>
      <w:r w:rsidR="00F97B53">
        <w:rPr>
          <w:rFonts w:ascii="TT Commons Pro" w:hAnsi="TT Commons Pro" w:cs="TT Commons Pro"/>
        </w:rPr>
        <w:t>at least some</w:t>
      </w:r>
      <w:r w:rsidR="007003C1">
        <w:rPr>
          <w:rFonts w:ascii="TT Commons Pro" w:hAnsi="TT Commons Pro" w:cs="TT Commons Pro"/>
        </w:rPr>
        <w:t xml:space="preserve"> of the text in</w:t>
      </w:r>
      <w:r w:rsidR="00276834">
        <w:rPr>
          <w:rFonts w:ascii="TT Commons Pro" w:hAnsi="TT Commons Pro" w:cs="TT Commons Pro"/>
        </w:rPr>
        <w:t xml:space="preserve"> an image in the</w:t>
      </w:r>
      <w:r w:rsidR="00E05AED">
        <w:rPr>
          <w:rFonts w:ascii="TT Commons Pro" w:hAnsi="TT Commons Pro" w:cs="TT Commons Pro"/>
        </w:rPr>
        <w:t xml:space="preserve"> alt-text description. </w:t>
      </w:r>
      <w:r w:rsidR="00CE545F">
        <w:rPr>
          <w:rFonts w:ascii="TT Commons Pro" w:hAnsi="TT Commons Pro" w:cs="TT Commons Pro"/>
        </w:rPr>
        <w:t>I</w:t>
      </w:r>
      <w:r w:rsidR="00A64187">
        <w:rPr>
          <w:rFonts w:ascii="TT Commons Pro" w:hAnsi="TT Commons Pro" w:cs="TT Commons Pro"/>
        </w:rPr>
        <w:t xml:space="preserve">f the </w:t>
      </w:r>
      <w:r w:rsidR="00354EF7">
        <w:rPr>
          <w:rFonts w:ascii="TT Commons Pro" w:hAnsi="TT Commons Pro" w:cs="TT Commons Pro"/>
        </w:rPr>
        <w:t>text</w:t>
      </w:r>
      <w:r w:rsidR="00A33A54">
        <w:rPr>
          <w:rFonts w:ascii="TT Commons Pro" w:hAnsi="TT Commons Pro" w:cs="TT Commons Pro"/>
        </w:rPr>
        <w:t xml:space="preserve"> in the image exceeds </w:t>
      </w:r>
      <w:r w:rsidR="00CE545F">
        <w:rPr>
          <w:rFonts w:ascii="TT Commons Pro" w:hAnsi="TT Commons Pro" w:cs="TT Commons Pro"/>
        </w:rPr>
        <w:t>2-3 sentences,</w:t>
      </w:r>
      <w:r w:rsidR="00A33A54">
        <w:rPr>
          <w:rFonts w:ascii="TT Commons Pro" w:hAnsi="TT Commons Pro" w:cs="TT Commons Pro"/>
        </w:rPr>
        <w:t xml:space="preserve"> it is better to </w:t>
      </w:r>
      <w:r w:rsidR="00100B56">
        <w:rPr>
          <w:rFonts w:ascii="TT Commons Pro" w:hAnsi="TT Commons Pro" w:cs="TT Commons Pro"/>
        </w:rPr>
        <w:t>include</w:t>
      </w:r>
      <w:r w:rsidR="00A33A54">
        <w:rPr>
          <w:rFonts w:ascii="TT Commons Pro" w:hAnsi="TT Commons Pro" w:cs="TT Commons Pro"/>
        </w:rPr>
        <w:t xml:space="preserve"> a brief description or summary</w:t>
      </w:r>
      <w:r w:rsidR="00F10052">
        <w:rPr>
          <w:rFonts w:ascii="TT Commons Pro" w:hAnsi="TT Commons Pro" w:cs="TT Commons Pro"/>
        </w:rPr>
        <w:t xml:space="preserve"> </w:t>
      </w:r>
      <w:r w:rsidR="00100B56">
        <w:rPr>
          <w:rFonts w:ascii="TT Commons Pro" w:hAnsi="TT Commons Pro" w:cs="TT Commons Pro"/>
        </w:rPr>
        <w:t>in the alt-text</w:t>
      </w:r>
      <w:r w:rsidR="00A33A54">
        <w:rPr>
          <w:rFonts w:ascii="TT Commons Pro" w:hAnsi="TT Commons Pro" w:cs="TT Commons Pro"/>
        </w:rPr>
        <w:t>, while repeating t</w:t>
      </w:r>
      <w:r w:rsidR="00435E40">
        <w:rPr>
          <w:rFonts w:ascii="TT Commons Pro" w:hAnsi="TT Commons Pro" w:cs="TT Commons Pro"/>
        </w:rPr>
        <w:t xml:space="preserve">he image text elsewhere on the page. </w:t>
      </w:r>
    </w:p>
    <w:p w:rsidR="00DB1C04" w:rsidP="00827570" w:rsidRDefault="00DB1C04" w14:paraId="1F222784" w14:textId="77777777">
      <w:pPr>
        <w:rPr>
          <w:rFonts w:ascii="TT Commons Pro" w:hAnsi="TT Commons Pro" w:cs="TT Commons Pro"/>
        </w:rPr>
      </w:pPr>
    </w:p>
    <w:p w:rsidRPr="00827570" w:rsidR="007B3939" w:rsidP="00827570" w:rsidRDefault="007B3939" w14:paraId="7A7FEFB8" w14:textId="71FD57E7">
      <w:pPr>
        <w:rPr>
          <w:rFonts w:ascii="TT Commons Pro" w:hAnsi="TT Commons Pro" w:cs="TT Commons Pro"/>
        </w:rPr>
      </w:pPr>
      <w:r>
        <w:rPr>
          <w:noProof/>
        </w:rPr>
        <w:drawing>
          <wp:anchor distT="0" distB="0" distL="114300" distR="114300" simplePos="0" relativeHeight="251659264" behindDoc="0" locked="0" layoutInCell="1" allowOverlap="1" wp14:anchorId="68F65F91" wp14:editId="0A019B8D">
            <wp:simplePos x="0" y="0"/>
            <wp:positionH relativeFrom="column">
              <wp:posOffset>0</wp:posOffset>
            </wp:positionH>
            <wp:positionV relativeFrom="paragraph">
              <wp:posOffset>0</wp:posOffset>
            </wp:positionV>
            <wp:extent cx="5943600" cy="3343275"/>
            <wp:effectExtent l="0" t="0" r="0" b="9525"/>
            <wp:wrapTopAndBottom/>
            <wp:docPr id="1467764518" name="Picture 1" descr="Flyer for CUNY SLU's Teaching Labor History with Union Buttons pres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64518" name="Picture 1" descr="Flyer for CUNY SLU's Teaching Labor History with Union Buttons presenta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anchor>
        </w:drawing>
      </w:r>
    </w:p>
    <w:p w:rsidRPr="00DB1C04" w:rsidR="00DB1C04" w:rsidP="00DF7C12" w:rsidRDefault="00DB1C04" w14:paraId="0A5D14E9" w14:textId="4FB26EC3">
      <w:pPr>
        <w:rPr>
          <w:rFonts w:ascii="TT Commons Pro Light" w:hAnsi="TT Commons Pro Light" w:cs="TT Commons Pro Light"/>
          <w:i/>
          <w:iCs/>
        </w:rPr>
      </w:pPr>
      <w:r>
        <w:rPr>
          <w:rFonts w:ascii="TT Commons Pro Light" w:hAnsi="TT Commons Pro Light" w:cs="TT Commons Pro Light"/>
          <w:i/>
          <w:iCs/>
        </w:rPr>
        <w:t xml:space="preserve">Alt Text: </w:t>
      </w:r>
      <w:r w:rsidRPr="00DB1C04">
        <w:rPr>
          <w:rFonts w:ascii="TT Commons Pro Light" w:hAnsi="TT Commons Pro Light" w:cs="TT Commons Pro Light"/>
          <w:i/>
          <w:iCs/>
        </w:rPr>
        <w:t xml:space="preserve">Flyer for CUNY SLU's </w:t>
      </w:r>
      <w:r w:rsidR="00FA7DCD">
        <w:rPr>
          <w:rFonts w:ascii="TT Commons Pro Light" w:hAnsi="TT Commons Pro Light" w:cs="TT Commons Pro Light"/>
          <w:i/>
          <w:iCs/>
        </w:rPr>
        <w:t>“</w:t>
      </w:r>
      <w:r w:rsidRPr="00DB1C04">
        <w:rPr>
          <w:rFonts w:ascii="TT Commons Pro Light" w:hAnsi="TT Commons Pro Light" w:cs="TT Commons Pro Light"/>
          <w:i/>
          <w:iCs/>
        </w:rPr>
        <w:t>Teaching Labor History with Union Buttons</w:t>
      </w:r>
      <w:r w:rsidR="00FA7DCD">
        <w:rPr>
          <w:rFonts w:ascii="TT Commons Pro Light" w:hAnsi="TT Commons Pro Light" w:cs="TT Commons Pro Light"/>
          <w:i/>
          <w:iCs/>
        </w:rPr>
        <w:t>”</w:t>
      </w:r>
      <w:r w:rsidRPr="00DB1C04">
        <w:rPr>
          <w:rFonts w:ascii="TT Commons Pro Light" w:hAnsi="TT Commons Pro Light" w:cs="TT Commons Pro Light"/>
          <w:i/>
          <w:iCs/>
        </w:rPr>
        <w:t xml:space="preserve"> presentation.</w:t>
      </w:r>
    </w:p>
    <w:p w:rsidR="00FA54C8" w:rsidP="00DF7C12" w:rsidRDefault="008D4E86" w14:paraId="3203EE35" w14:textId="31D0A27A">
      <w:pPr>
        <w:rPr>
          <w:rFonts w:ascii="TT Commons Pro" w:hAnsi="TT Commons Pro" w:cs="TT Commons Pro"/>
        </w:rPr>
      </w:pPr>
      <w:r>
        <w:rPr>
          <w:rFonts w:ascii="TT Commons Pro" w:hAnsi="TT Commons Pro" w:cs="TT Commons Pro"/>
        </w:rPr>
        <w:t xml:space="preserve">Adjourning text </w:t>
      </w:r>
      <w:r w:rsidR="005318C0">
        <w:rPr>
          <w:rFonts w:ascii="TT Commons Pro" w:hAnsi="TT Commons Pro" w:cs="TT Commons Pro"/>
        </w:rPr>
        <w:t xml:space="preserve">body: </w:t>
      </w:r>
      <w:r w:rsidRPr="008F3E59" w:rsidR="008F3E59">
        <w:rPr>
          <w:rFonts w:ascii="TT Commons Pro" w:hAnsi="TT Commons Pro" w:cs="TT Commons Pro"/>
        </w:rPr>
        <w:t>Join us September 15 for Teaching Labor History with Union Buttons. Hear Isaac Silver, the archivist and educator behind Buttons of the Left, discuss how historic labor materials can be preserved, studied, and used to teach in today’s political moment. This free, in-person event takes place from 6:30 p.m. to 8:30 p.m. on SLU’s 18th floor.</w:t>
      </w:r>
    </w:p>
    <w:p w:rsidR="004A09CF" w:rsidP="00DF7C12" w:rsidRDefault="004A09CF" w14:paraId="4571C089" w14:textId="77777777">
      <w:pPr>
        <w:rPr>
          <w:rFonts w:ascii="TT Commons Pro" w:hAnsi="TT Commons Pro" w:cs="TT Commons Pro"/>
        </w:rPr>
      </w:pPr>
    </w:p>
    <w:sectPr w:rsidR="004A09CF">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T Commons Pro Black">
    <w:altName w:val="Calibri"/>
    <w:panose1 w:val="00000000000000000000"/>
    <w:charset w:val="00"/>
    <w:family w:val="swiss"/>
    <w:notTrueType/>
    <w:pitch w:val="variable"/>
    <w:sig w:usb0="A00022EF" w:usb1="5000A4FB" w:usb2="00000000" w:usb3="00000000" w:csb0="000001DF" w:csb1="00000000"/>
  </w:font>
  <w:font w:name="TT Commons Pro">
    <w:altName w:val="Calibri"/>
    <w:panose1 w:val="00000000000000000000"/>
    <w:charset w:val="00"/>
    <w:family w:val="swiss"/>
    <w:notTrueType/>
    <w:pitch w:val="variable"/>
    <w:sig w:usb0="A00022EF" w:usb1="5000A4FB" w:usb2="00000000" w:usb3="00000000" w:csb0="000001DF" w:csb1="00000000"/>
  </w:font>
  <w:font w:name="TT Commons Pro Light">
    <w:altName w:val="Calibri"/>
    <w:panose1 w:val="00000000000000000000"/>
    <w:charset w:val="00"/>
    <w:family w:val="swiss"/>
    <w:notTrueType/>
    <w:pitch w:val="variable"/>
    <w:sig w:usb0="A00022EF" w:usb1="5000A4FB" w:usb2="00000000"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433A7"/>
    <w:multiLevelType w:val="hybridMultilevel"/>
    <w:tmpl w:val="9392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4642FF"/>
    <w:multiLevelType w:val="hybridMultilevel"/>
    <w:tmpl w:val="CB32C4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4294745">
    <w:abstractNumId w:val="1"/>
  </w:num>
  <w:num w:numId="2" w16cid:durableId="253058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C12"/>
    <w:rsid w:val="00007818"/>
    <w:rsid w:val="00013314"/>
    <w:rsid w:val="00013BA9"/>
    <w:rsid w:val="00032CF7"/>
    <w:rsid w:val="000354A7"/>
    <w:rsid w:val="00095BD1"/>
    <w:rsid w:val="000F1722"/>
    <w:rsid w:val="000F671C"/>
    <w:rsid w:val="00100B56"/>
    <w:rsid w:val="00160799"/>
    <w:rsid w:val="001C6AF8"/>
    <w:rsid w:val="001F5A0B"/>
    <w:rsid w:val="002202D7"/>
    <w:rsid w:val="00274837"/>
    <w:rsid w:val="00276834"/>
    <w:rsid w:val="002B7D38"/>
    <w:rsid w:val="002D430C"/>
    <w:rsid w:val="002D6B66"/>
    <w:rsid w:val="002F5BB3"/>
    <w:rsid w:val="003023E0"/>
    <w:rsid w:val="003072D9"/>
    <w:rsid w:val="0031075E"/>
    <w:rsid w:val="00315782"/>
    <w:rsid w:val="0033379D"/>
    <w:rsid w:val="00354EF7"/>
    <w:rsid w:val="00363963"/>
    <w:rsid w:val="0036674C"/>
    <w:rsid w:val="00377218"/>
    <w:rsid w:val="00381B3F"/>
    <w:rsid w:val="0038605A"/>
    <w:rsid w:val="003E3ACF"/>
    <w:rsid w:val="003F0D16"/>
    <w:rsid w:val="00407CF9"/>
    <w:rsid w:val="00435E40"/>
    <w:rsid w:val="004628CC"/>
    <w:rsid w:val="004716B7"/>
    <w:rsid w:val="00491B87"/>
    <w:rsid w:val="00495B79"/>
    <w:rsid w:val="004A09CF"/>
    <w:rsid w:val="004B5154"/>
    <w:rsid w:val="004F6731"/>
    <w:rsid w:val="005318C0"/>
    <w:rsid w:val="005627EC"/>
    <w:rsid w:val="00571D2E"/>
    <w:rsid w:val="00577DD3"/>
    <w:rsid w:val="00583019"/>
    <w:rsid w:val="0058695D"/>
    <w:rsid w:val="005A5C7C"/>
    <w:rsid w:val="005C627E"/>
    <w:rsid w:val="005D3FF2"/>
    <w:rsid w:val="005D45E9"/>
    <w:rsid w:val="0060327C"/>
    <w:rsid w:val="00656CD6"/>
    <w:rsid w:val="00675AEE"/>
    <w:rsid w:val="006826D1"/>
    <w:rsid w:val="006864A6"/>
    <w:rsid w:val="00696739"/>
    <w:rsid w:val="006B4E04"/>
    <w:rsid w:val="006C4313"/>
    <w:rsid w:val="006F42CD"/>
    <w:rsid w:val="007003C1"/>
    <w:rsid w:val="0071041A"/>
    <w:rsid w:val="00715B68"/>
    <w:rsid w:val="00734079"/>
    <w:rsid w:val="00745758"/>
    <w:rsid w:val="00752775"/>
    <w:rsid w:val="007534F7"/>
    <w:rsid w:val="00760641"/>
    <w:rsid w:val="007635EF"/>
    <w:rsid w:val="00766144"/>
    <w:rsid w:val="0077256F"/>
    <w:rsid w:val="00795473"/>
    <w:rsid w:val="00796D3C"/>
    <w:rsid w:val="007A3FC4"/>
    <w:rsid w:val="007B057A"/>
    <w:rsid w:val="007B3939"/>
    <w:rsid w:val="007C37B1"/>
    <w:rsid w:val="007D1709"/>
    <w:rsid w:val="007D3960"/>
    <w:rsid w:val="007F4C46"/>
    <w:rsid w:val="00800C56"/>
    <w:rsid w:val="00801805"/>
    <w:rsid w:val="00827570"/>
    <w:rsid w:val="00827835"/>
    <w:rsid w:val="008652B2"/>
    <w:rsid w:val="00866F5C"/>
    <w:rsid w:val="0087609D"/>
    <w:rsid w:val="008B6F2D"/>
    <w:rsid w:val="008C1CB6"/>
    <w:rsid w:val="008C2561"/>
    <w:rsid w:val="008D0F8B"/>
    <w:rsid w:val="008D4E86"/>
    <w:rsid w:val="008F3CB0"/>
    <w:rsid w:val="008F3E59"/>
    <w:rsid w:val="009175C2"/>
    <w:rsid w:val="00940C32"/>
    <w:rsid w:val="00965946"/>
    <w:rsid w:val="00987E51"/>
    <w:rsid w:val="009905DA"/>
    <w:rsid w:val="009B3A93"/>
    <w:rsid w:val="009D10A1"/>
    <w:rsid w:val="00A041AF"/>
    <w:rsid w:val="00A159C8"/>
    <w:rsid w:val="00A1781A"/>
    <w:rsid w:val="00A2770D"/>
    <w:rsid w:val="00A33A54"/>
    <w:rsid w:val="00A64187"/>
    <w:rsid w:val="00A646AA"/>
    <w:rsid w:val="00A66079"/>
    <w:rsid w:val="00A71FDF"/>
    <w:rsid w:val="00A77DDD"/>
    <w:rsid w:val="00A94B6E"/>
    <w:rsid w:val="00AD1EB9"/>
    <w:rsid w:val="00AD1FCB"/>
    <w:rsid w:val="00AD2EC3"/>
    <w:rsid w:val="00AE6AB3"/>
    <w:rsid w:val="00B0643A"/>
    <w:rsid w:val="00B06D58"/>
    <w:rsid w:val="00B2441F"/>
    <w:rsid w:val="00B4046F"/>
    <w:rsid w:val="00BA0535"/>
    <w:rsid w:val="00BA0FFB"/>
    <w:rsid w:val="00BC1204"/>
    <w:rsid w:val="00BC6449"/>
    <w:rsid w:val="00BE1FED"/>
    <w:rsid w:val="00BE64AC"/>
    <w:rsid w:val="00BF3879"/>
    <w:rsid w:val="00BF3920"/>
    <w:rsid w:val="00C26C47"/>
    <w:rsid w:val="00C347D7"/>
    <w:rsid w:val="00C61490"/>
    <w:rsid w:val="00C67652"/>
    <w:rsid w:val="00C81A20"/>
    <w:rsid w:val="00C87419"/>
    <w:rsid w:val="00CD1BC7"/>
    <w:rsid w:val="00CD768F"/>
    <w:rsid w:val="00CE484F"/>
    <w:rsid w:val="00CE545F"/>
    <w:rsid w:val="00D16139"/>
    <w:rsid w:val="00D223B8"/>
    <w:rsid w:val="00D66023"/>
    <w:rsid w:val="00D73723"/>
    <w:rsid w:val="00DA0DA2"/>
    <w:rsid w:val="00DA65C7"/>
    <w:rsid w:val="00DB1C04"/>
    <w:rsid w:val="00DC6E54"/>
    <w:rsid w:val="00DF7C12"/>
    <w:rsid w:val="00E050CC"/>
    <w:rsid w:val="00E05AED"/>
    <w:rsid w:val="00E17AB1"/>
    <w:rsid w:val="00E32BBA"/>
    <w:rsid w:val="00E41FB3"/>
    <w:rsid w:val="00E625A9"/>
    <w:rsid w:val="00E72CB4"/>
    <w:rsid w:val="00EB6F7D"/>
    <w:rsid w:val="00EC3EA3"/>
    <w:rsid w:val="00EC4EBA"/>
    <w:rsid w:val="00EE5528"/>
    <w:rsid w:val="00F10052"/>
    <w:rsid w:val="00F20477"/>
    <w:rsid w:val="00F227FA"/>
    <w:rsid w:val="00F25C45"/>
    <w:rsid w:val="00F40AE5"/>
    <w:rsid w:val="00F97B53"/>
    <w:rsid w:val="00FA54C8"/>
    <w:rsid w:val="00FA7DCD"/>
    <w:rsid w:val="00FC5909"/>
    <w:rsid w:val="00FF08B1"/>
    <w:rsid w:val="00FF397D"/>
    <w:rsid w:val="00FF49DC"/>
    <w:rsid w:val="03CD4DD3"/>
    <w:rsid w:val="05AD7D57"/>
    <w:rsid w:val="09047806"/>
    <w:rsid w:val="09794F97"/>
    <w:rsid w:val="0AAC3117"/>
    <w:rsid w:val="1DD3AD5D"/>
    <w:rsid w:val="2969D4DC"/>
    <w:rsid w:val="4C35BD1A"/>
    <w:rsid w:val="50A7F2B0"/>
    <w:rsid w:val="54E255AA"/>
    <w:rsid w:val="57C080EE"/>
    <w:rsid w:val="5DE40215"/>
    <w:rsid w:val="601A1B9D"/>
    <w:rsid w:val="6033A9A7"/>
    <w:rsid w:val="604DF0C9"/>
    <w:rsid w:val="63CDB17A"/>
    <w:rsid w:val="64C49922"/>
    <w:rsid w:val="674398DB"/>
    <w:rsid w:val="685F8C5C"/>
    <w:rsid w:val="6B184B77"/>
    <w:rsid w:val="725ED2A1"/>
    <w:rsid w:val="77B4A9AF"/>
    <w:rsid w:val="78AF6651"/>
    <w:rsid w:val="7D83A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9982"/>
  <w15:chartTrackingRefBased/>
  <w15:docId w15:val="{BAAAC0E4-74F1-4999-BDC0-461380FA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F7C1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7C1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7C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7C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7C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7C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7C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7C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7C1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F7C1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DF7C1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DF7C1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DF7C1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DF7C1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DF7C1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DF7C1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F7C1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F7C12"/>
    <w:rPr>
      <w:rFonts w:eastAsiaTheme="majorEastAsia" w:cstheme="majorBidi"/>
      <w:color w:val="272727" w:themeColor="text1" w:themeTint="D8"/>
    </w:rPr>
  </w:style>
  <w:style w:type="paragraph" w:styleId="Title">
    <w:name w:val="Title"/>
    <w:basedOn w:val="Normal"/>
    <w:next w:val="Normal"/>
    <w:link w:val="TitleChar"/>
    <w:uiPriority w:val="10"/>
    <w:qFormat/>
    <w:rsid w:val="00DF7C1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DF7C1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DF7C1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DF7C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7C12"/>
    <w:pPr>
      <w:spacing w:before="160"/>
      <w:jc w:val="center"/>
    </w:pPr>
    <w:rPr>
      <w:i/>
      <w:iCs/>
      <w:color w:val="404040" w:themeColor="text1" w:themeTint="BF"/>
    </w:rPr>
  </w:style>
  <w:style w:type="character" w:styleId="QuoteChar" w:customStyle="1">
    <w:name w:val="Quote Char"/>
    <w:basedOn w:val="DefaultParagraphFont"/>
    <w:link w:val="Quote"/>
    <w:uiPriority w:val="29"/>
    <w:rsid w:val="00DF7C12"/>
    <w:rPr>
      <w:i/>
      <w:iCs/>
      <w:color w:val="404040" w:themeColor="text1" w:themeTint="BF"/>
    </w:rPr>
  </w:style>
  <w:style w:type="paragraph" w:styleId="ListParagraph">
    <w:name w:val="List Paragraph"/>
    <w:basedOn w:val="Normal"/>
    <w:uiPriority w:val="34"/>
    <w:qFormat/>
    <w:rsid w:val="00DF7C12"/>
    <w:pPr>
      <w:ind w:left="720"/>
      <w:contextualSpacing/>
    </w:pPr>
  </w:style>
  <w:style w:type="character" w:styleId="IntenseEmphasis">
    <w:name w:val="Intense Emphasis"/>
    <w:basedOn w:val="DefaultParagraphFont"/>
    <w:uiPriority w:val="21"/>
    <w:qFormat/>
    <w:rsid w:val="00DF7C12"/>
    <w:rPr>
      <w:i/>
      <w:iCs/>
      <w:color w:val="0F4761" w:themeColor="accent1" w:themeShade="BF"/>
    </w:rPr>
  </w:style>
  <w:style w:type="paragraph" w:styleId="IntenseQuote">
    <w:name w:val="Intense Quote"/>
    <w:basedOn w:val="Normal"/>
    <w:next w:val="Normal"/>
    <w:link w:val="IntenseQuoteChar"/>
    <w:uiPriority w:val="30"/>
    <w:qFormat/>
    <w:rsid w:val="00DF7C1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F7C12"/>
    <w:rPr>
      <w:i/>
      <w:iCs/>
      <w:color w:val="0F4761" w:themeColor="accent1" w:themeShade="BF"/>
    </w:rPr>
  </w:style>
  <w:style w:type="character" w:styleId="IntenseReference">
    <w:name w:val="Intense Reference"/>
    <w:basedOn w:val="DefaultParagraphFont"/>
    <w:uiPriority w:val="32"/>
    <w:qFormat/>
    <w:rsid w:val="00DF7C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2.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chart" Target="charts/chart1.xml"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mara\AppData\Roaming\Microsoft\Templates\CIS_AccessibilityTools.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Enrollment Numbers (2019-2023)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Enrollment</c:v>
                </c:pt>
              </c:strCache>
            </c:strRef>
          </c:tx>
          <c:spPr>
            <a:solidFill>
              <a:schemeClr val="accent1"/>
            </a:solidFill>
            <a:ln>
              <a:noFill/>
            </a:ln>
            <a:effectLst/>
          </c:spPr>
          <c:invertIfNegative val="0"/>
          <c:cat>
            <c:numRef>
              <c:f>Sheet1!$A$2:$A$6</c:f>
              <c:numCache>
                <c:formatCode>General</c:formatCode>
                <c:ptCount val="5"/>
                <c:pt idx="0">
                  <c:v>2019</c:v>
                </c:pt>
                <c:pt idx="1">
                  <c:v>2020</c:v>
                </c:pt>
                <c:pt idx="2">
                  <c:v>2021</c:v>
                </c:pt>
                <c:pt idx="3">
                  <c:v>2022</c:v>
                </c:pt>
                <c:pt idx="4">
                  <c:v>2023</c:v>
                </c:pt>
              </c:numCache>
            </c:numRef>
          </c:cat>
          <c:val>
            <c:numRef>
              <c:f>Sheet1!$B$2:$B$6</c:f>
              <c:numCache>
                <c:formatCode>General</c:formatCode>
                <c:ptCount val="5"/>
                <c:pt idx="0">
                  <c:v>120</c:v>
                </c:pt>
                <c:pt idx="1">
                  <c:v>135</c:v>
                </c:pt>
                <c:pt idx="2">
                  <c:v>136</c:v>
                </c:pt>
                <c:pt idx="3">
                  <c:v>145</c:v>
                </c:pt>
                <c:pt idx="4">
                  <c:v>160</c:v>
                </c:pt>
              </c:numCache>
            </c:numRef>
          </c:val>
          <c:extLst>
            <c:ext xmlns:c16="http://schemas.microsoft.com/office/drawing/2014/chart" uri="{C3380CC4-5D6E-409C-BE32-E72D297353CC}">
              <c16:uniqueId val="{00000000-1C7D-462B-802F-1AE98E6864D2}"/>
            </c:ext>
          </c:extLst>
        </c:ser>
        <c:dLbls>
          <c:showLegendKey val="0"/>
          <c:showVal val="0"/>
          <c:showCatName val="0"/>
          <c:showSerName val="0"/>
          <c:showPercent val="0"/>
          <c:showBubbleSize val="0"/>
        </c:dLbls>
        <c:gapWidth val="219"/>
        <c:overlap val="-27"/>
        <c:axId val="2028670656"/>
        <c:axId val="2028672096"/>
      </c:barChart>
      <c:catAx>
        <c:axId val="202867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8672096"/>
        <c:crosses val="autoZero"/>
        <c:auto val="1"/>
        <c:lblAlgn val="ctr"/>
        <c:lblOffset val="100"/>
        <c:noMultiLvlLbl val="0"/>
      </c:catAx>
      <c:valAx>
        <c:axId val="202867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867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f60f0b3-5f06-4e09-9715-989dba8cc7d8}" enabled="0" method="" siteId="{6f60f0b3-5f06-4e09-9715-989dba8cc7d8}"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CIS_AccessibilityTools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Writing Great Alt Text</dc:title>
  <dc:subject/>
  <dc:creator>Imara Johnson</dc:creator>
  <keywords/>
  <dc:description/>
  <lastModifiedBy>Imara Johnson</lastModifiedBy>
  <revision>159</revision>
  <dcterms:created xsi:type="dcterms:W3CDTF">2026-09-09T20:09:00.0000000Z</dcterms:created>
  <dcterms:modified xsi:type="dcterms:W3CDTF">2026-10-20T16:51:46.7052139Z</dcterms:modified>
</coreProperties>
</file>