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1781A" w:rsidP="008F37DF" w:rsidRDefault="00141022" w14:paraId="4D3C4C84" w14:textId="39A23691">
      <w:pPr>
        <w:pStyle w:val="Heading1"/>
      </w:pPr>
      <w:r>
        <w:rPr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5B96F453" wp14:editId="0DEB3723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2209800" cy="372110"/>
            <wp:effectExtent l="0" t="0" r="0" b="8890"/>
            <wp:wrapSquare wrapText="bothSides"/>
            <wp:docPr id="1413737190" name="Picture 1" descr="Logo for the CUNY School of Labor and Urban Stud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37190" name="Picture 1" descr="Logo for the CUNY School of Labor and Urban Studi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37DF">
        <w:t>Accessibility in Brightspace</w:t>
      </w:r>
    </w:p>
    <w:p w:rsidRPr="00C31967" w:rsidR="008F37DF" w:rsidP="008F37DF" w:rsidRDefault="00C31967" w14:paraId="0B5B1C71" w14:textId="0D9CA018">
      <w:pPr>
        <w:rPr>
          <w:rFonts w:ascii="TT Commons Pro Light" w:hAnsi="TT Commons Pro Light" w:cs="TT Commons Pro Light"/>
          <w:color w:val="595959" w:themeColor="text1" w:themeTint="A6"/>
          <w:sz w:val="28"/>
          <w:szCs w:val="28"/>
        </w:rPr>
      </w:pPr>
      <w:r w:rsidRPr="00C31967">
        <w:rPr>
          <w:rFonts w:ascii="TT Commons Pro Light" w:hAnsi="TT Commons Pro Light" w:cs="TT Commons Pro Light"/>
          <w:color w:val="595959" w:themeColor="text1" w:themeTint="A6"/>
          <w:sz w:val="28"/>
          <w:szCs w:val="28"/>
        </w:rPr>
        <w:t>Creating Accessible courses in Brightspace</w:t>
      </w:r>
    </w:p>
    <w:p w:rsidR="00C31967" w:rsidP="008F37DF" w:rsidRDefault="00D67E53" w14:paraId="19E4F37C" w14:textId="38143291">
      <w:pPr>
        <w:rPr>
          <w:rFonts w:cs="TT Commons Pro"/>
        </w:rPr>
      </w:pPr>
      <w:r>
        <w:rPr>
          <w:rFonts w:cs="TT Commons Pro"/>
        </w:rPr>
        <w:t>Making sure students, faculty, and more have access to course materials is an easy process when the building blocks are created with accessibility in mind.</w:t>
      </w:r>
    </w:p>
    <w:p w:rsidR="009F0F97" w:rsidP="009F0F97" w:rsidRDefault="009F0F97" w14:paraId="06E3C224" w14:textId="69AF7463">
      <w:pPr>
        <w:pStyle w:val="Heading2"/>
      </w:pPr>
      <w:r>
        <w:t>Built-in Tools for Accessibility</w:t>
      </w:r>
    </w:p>
    <w:p w:rsidR="009F0F97" w:rsidP="009F0F97" w:rsidRDefault="0093034A" w14:paraId="262D5507" w14:textId="512D5B51">
      <w:r>
        <w:t xml:space="preserve">Brightspace has </w:t>
      </w:r>
      <w:r w:rsidR="00A8196D">
        <w:t>a few</w:t>
      </w:r>
      <w:r>
        <w:t xml:space="preserve"> tools to make accessibility easy.</w:t>
      </w:r>
    </w:p>
    <w:p w:rsidR="0093034A" w:rsidP="0093034A" w:rsidRDefault="0093034A" w14:paraId="6AAA7486" w14:textId="119F542D">
      <w:pPr>
        <w:pStyle w:val="Heading3"/>
        <w:rPr>
          <w:rFonts w:cs="TT Commons Pro"/>
          <w:b/>
          <w:bCs/>
        </w:rPr>
      </w:pPr>
      <w:r w:rsidRPr="0093034A">
        <w:rPr>
          <w:rFonts w:cs="TT Commons Pro"/>
          <w:b/>
          <w:bCs/>
        </w:rPr>
        <w:t xml:space="preserve">Using </w:t>
      </w:r>
      <w:r>
        <w:rPr>
          <w:rFonts w:cs="TT Commons Pro"/>
          <w:b/>
          <w:bCs/>
        </w:rPr>
        <w:t xml:space="preserve">the </w:t>
      </w:r>
      <w:r w:rsidRPr="0093034A">
        <w:rPr>
          <w:rFonts w:cs="TT Commons Pro"/>
          <w:b/>
          <w:bCs/>
        </w:rPr>
        <w:t>Text Editor</w:t>
      </w:r>
      <w:r w:rsidR="00B96583">
        <w:rPr>
          <w:rFonts w:cs="TT Commons Pro"/>
          <w:b/>
          <w:bCs/>
        </w:rPr>
        <w:t xml:space="preserve"> (HTML)</w:t>
      </w:r>
    </w:p>
    <w:p w:rsidR="0093034A" w:rsidP="0093034A" w:rsidRDefault="00B96583" w14:paraId="25FF3955" w14:textId="2DFE413C">
      <w:r>
        <w:t>When creating and adding text to content using the native rich text editor</w:t>
      </w:r>
      <w:r w:rsidR="005D6588">
        <w:t xml:space="preserve"> </w:t>
      </w:r>
      <w:r w:rsidR="00A8196D">
        <w:t>it is best practice to use the built-in formatting tools.</w:t>
      </w:r>
    </w:p>
    <w:p w:rsidR="00A8196D" w:rsidP="00771FF5" w:rsidRDefault="00A8196D" w14:paraId="383C0C27" w14:textId="35E958B6">
      <w:pPr>
        <w:spacing w:line="276" w:lineRule="auto"/>
        <w:ind w:left="720"/>
        <w:rPr>
          <w:i/>
          <w:iCs/>
        </w:rPr>
      </w:pPr>
      <w:r w:rsidRPr="00A8196D">
        <w:rPr>
          <w:noProof/>
        </w:rPr>
        <w:drawing>
          <wp:anchor distT="0" distB="0" distL="114300" distR="114300" simplePos="0" relativeHeight="251658240" behindDoc="1" locked="0" layoutInCell="1" allowOverlap="1" wp14:anchorId="30674558" wp14:editId="204BC7D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467985" cy="457200"/>
            <wp:effectExtent l="0" t="0" r="0" b="0"/>
            <wp:wrapTopAndBottom/>
            <wp:docPr id="664831677" name="Picture 1" descr="Image of the text formatting toolbar in Brightsp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831677" name="Picture 1" descr="Image of the text formatting toolbar in Brightspace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1FF5">
        <w:rPr>
          <w:i/>
          <w:iCs/>
        </w:rPr>
        <w:t>Above is an image of the formatting toolbar that appears in the text box when a post is created or edited.</w:t>
      </w:r>
    </w:p>
    <w:p w:rsidR="00771FF5" w:rsidP="00771FF5" w:rsidRDefault="00771FF5" w14:paraId="7F072843" w14:textId="16394DE7">
      <w:pPr>
        <w:spacing w:line="276" w:lineRule="auto"/>
      </w:pPr>
      <w:r>
        <w:t>The toolbar enables users to create encoded text elements like:</w:t>
      </w:r>
    </w:p>
    <w:p w:rsidR="00771FF5" w:rsidP="00771FF5" w:rsidRDefault="00771FF5" w14:paraId="33DE453D" w14:textId="6C0A3449">
      <w:pPr>
        <w:pStyle w:val="ListParagraph"/>
        <w:numPr>
          <w:ilvl w:val="0"/>
          <w:numId w:val="2"/>
        </w:numPr>
        <w:spacing w:line="276" w:lineRule="auto"/>
      </w:pPr>
      <w:r>
        <w:t>Unordered lists (bulleted)</w:t>
      </w:r>
    </w:p>
    <w:p w:rsidR="00EB6F6A" w:rsidP="00771FF5" w:rsidRDefault="00EB6F6A" w14:paraId="41E4C898" w14:textId="2FBF470B">
      <w:pPr>
        <w:pStyle w:val="ListParagraph"/>
        <w:numPr>
          <w:ilvl w:val="0"/>
          <w:numId w:val="2"/>
        </w:numPr>
        <w:spacing w:line="276" w:lineRule="auto"/>
      </w:pPr>
      <w:r>
        <w:t>Ordered lists (Numbered)</w:t>
      </w:r>
    </w:p>
    <w:p w:rsidR="00EB6F6A" w:rsidP="00771FF5" w:rsidRDefault="00EB6F6A" w14:paraId="7C870D86" w14:textId="577DB236">
      <w:pPr>
        <w:pStyle w:val="ListParagraph"/>
        <w:numPr>
          <w:ilvl w:val="0"/>
          <w:numId w:val="2"/>
        </w:numPr>
        <w:spacing w:line="276" w:lineRule="auto"/>
      </w:pPr>
      <w:r>
        <w:t>Headings</w:t>
      </w:r>
    </w:p>
    <w:p w:rsidR="00EB6F6A" w:rsidP="00771FF5" w:rsidRDefault="00EB6F6A" w14:paraId="4D7DE107" w14:textId="66EA441C">
      <w:pPr>
        <w:pStyle w:val="ListParagraph"/>
        <w:numPr>
          <w:ilvl w:val="0"/>
          <w:numId w:val="2"/>
        </w:numPr>
        <w:spacing w:line="276" w:lineRule="auto"/>
      </w:pPr>
      <w:r>
        <w:t>Paragraphs</w:t>
      </w:r>
    </w:p>
    <w:p w:rsidR="00EB6F6A" w:rsidP="00771FF5" w:rsidRDefault="00EB6F6A" w14:paraId="0B8BBFD7" w14:textId="06839AFF">
      <w:pPr>
        <w:pStyle w:val="ListParagraph"/>
        <w:numPr>
          <w:ilvl w:val="0"/>
          <w:numId w:val="2"/>
        </w:numPr>
        <w:spacing w:line="276" w:lineRule="auto"/>
      </w:pPr>
      <w:r>
        <w:t>Hyperlinks</w:t>
      </w:r>
    </w:p>
    <w:p w:rsidR="001B6690" w:rsidP="01814559" w:rsidRDefault="00790F5F" w14:paraId="130FEFB9" w14:textId="363BA9B6">
      <w:pPr>
        <w:spacing w:line="276" w:lineRule="auto"/>
      </w:pPr>
      <w:r w:rsidR="0CFD0328">
        <w:rPr/>
        <w:t xml:space="preserve">Using the tools provided by the text editor allows screen readers and other accessibility tools to </w:t>
      </w:r>
      <w:r w:rsidR="0CFD0328">
        <w:rPr/>
        <w:t>identify</w:t>
      </w:r>
      <w:r w:rsidR="0CFD0328">
        <w:rPr/>
        <w:t xml:space="preserve"> the structure of the text. </w:t>
      </w:r>
    </w:p>
    <w:p w:rsidR="001B6690" w:rsidP="01814559" w:rsidRDefault="00790F5F" w14:paraId="442F0B8C" w14:textId="2A90F0A5">
      <w:pPr>
        <w:pStyle w:val="Heading1"/>
        <w:rPr>
          <w:b w:val="1"/>
          <w:bCs w:val="1"/>
        </w:rPr>
      </w:pPr>
      <w:r w:rsidR="24E0E493">
        <w:rPr/>
        <w:t xml:space="preserve">Brightspace </w:t>
      </w:r>
      <w:r w:rsidR="1FDF4BB0">
        <w:rPr/>
        <w:t>A</w:t>
      </w:r>
      <w:r w:rsidR="24E0E493">
        <w:rPr/>
        <w:t>lly</w:t>
      </w:r>
    </w:p>
    <w:p w:rsidR="00790F5F" w:rsidP="4397E67B" w:rsidRDefault="00D45258" w14:paraId="79BC4B4E" w14:noSpellErr="1" w14:textId="4940CC81">
      <w:pPr/>
      <w:r w:rsidR="148CBB5A">
        <w:rPr/>
        <w:t>The Ally tool</w:t>
      </w:r>
      <w:r w:rsidR="5B1462CE">
        <w:rPr/>
        <w:t xml:space="preserve"> provides an accessibility score for </w:t>
      </w:r>
      <w:r w:rsidR="29ADBEFE">
        <w:rPr/>
        <w:t xml:space="preserve">files uploaded </w:t>
      </w:r>
      <w:r w:rsidR="4C7523AF">
        <w:rPr/>
        <w:t xml:space="preserve">or created </w:t>
      </w:r>
      <w:r w:rsidR="29ADBEFE">
        <w:rPr/>
        <w:t>in the “</w:t>
      </w:r>
      <w:r w:rsidR="5B1462CE">
        <w:rPr/>
        <w:t xml:space="preserve">Content” area </w:t>
      </w:r>
      <w:r w:rsidR="75301BE2">
        <w:rPr/>
        <w:t>of</w:t>
      </w:r>
      <w:r w:rsidR="5B1462CE">
        <w:rPr/>
        <w:t xml:space="preserve"> courses</w:t>
      </w:r>
      <w:r w:rsidR="29ADBEFE">
        <w:rPr/>
        <w:t>. It assigns an accessibility score of Low, Medium, High, or Perfect.</w:t>
      </w:r>
      <w:r w:rsidR="75301BE2">
        <w:rPr/>
        <w:t xml:space="preserve">For scores less than Perfect, </w:t>
      </w:r>
      <w:r w:rsidR="5CA0CDCF">
        <w:rPr/>
        <w:t xml:space="preserve">users may select the dial </w:t>
      </w:r>
      <w:r w:rsidR="5CA0CDCF">
        <w:rPr/>
        <w:t>icon</w:t>
      </w:r>
      <w:r w:rsidR="5CA0CDCF">
        <w:rPr/>
        <w:t xml:space="preserve"> and Ally </w:t>
      </w:r>
      <w:r w:rsidR="01ABC2C7">
        <w:rPr/>
        <w:t>provides</w:t>
      </w:r>
      <w:r w:rsidR="5CA0CDCF">
        <w:rPr/>
        <w:t xml:space="preserve"> a</w:t>
      </w:r>
      <w:r w:rsidR="5CA0CDCF">
        <w:rPr/>
        <w:t xml:space="preserve"> report of accessibility concerns. Some of the </w:t>
      </w:r>
      <w:r w:rsidR="5CA0CDCF">
        <w:rPr/>
        <w:t xml:space="preserve">accessibility concerns c</w:t>
      </w:r>
      <w:r w:rsidR="5CA0CDCF">
        <w:rPr/>
        <w:t>a</w:t>
      </w:r>
      <w:r w:rsidR="5CA0CDCF">
        <w:rPr/>
        <w:t xml:space="preserve">n be addressed in </w:t>
      </w:r>
      <w:r w:rsidR="5CA0CDCF">
        <w:rPr/>
        <w:t>Brightspace</w:t>
      </w:r>
      <w:r w:rsidR="5CA0CDCF">
        <w:rPr/>
        <w:t xml:space="preserve"> like a missing document title. Most of the concerns must be addressed in the document editor (</w:t>
      </w:r>
      <w:r w:rsidR="5CA0CDCF">
        <w:rPr/>
        <w:t>i.e.</w:t>
      </w:r>
      <w:r w:rsidR="5CA0CDCF">
        <w:rPr/>
        <w:t xml:space="preserve"> Adobe for PDFs, Word </w:t>
      </w:r>
      <w:r w:rsidR="5CA0CDCF">
        <w:rPr/>
        <w:t>for .Docx</w:t>
      </w:r>
      <w:r w:rsidR="5CA0CDCF">
        <w:rPr/>
        <w:t>).</w:t>
      </w:r>
      <w:r w:rsidR="4397E67B">
        <w:drawing>
          <wp:anchor distT="0" distB="0" distL="114300" distR="114300" simplePos="0" relativeHeight="251659264" behindDoc="0" locked="0" layoutInCell="1" allowOverlap="1" wp14:editId="549E0152" wp14:anchorId="33BD999A">
            <wp:simplePos x="0" y="0"/>
            <wp:positionH relativeFrom="column">
              <wp:align>right</wp:align>
            </wp:positionH>
            <wp:positionV relativeFrom="paragraph">
              <wp:posOffset>84455</wp:posOffset>
            </wp:positionV>
            <wp:extent cx="1609725" cy="3321685"/>
            <wp:effectExtent l="0" t="0" r="9525" b="0"/>
            <wp:wrapSquare wrapText="bothSides"/>
            <wp:docPr id="500875252" name="Picture 1" descr="A screenshot showing the 4 possible Ally score icons: Low (red), Medium (yellow), High (light green), and Perfect (dark green)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00875252" name="Picture 1" descr="A screenshot showing the 4 possible Ally score icons: Low (red), Medium (yellow), High (light green), and Perfect (dark green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673D" w:rsidP="00790F5F" w:rsidRDefault="00C2237C" w14:paraId="6FBBF237" w14:textId="2ECC76A2">
      <w:r>
        <w:t xml:space="preserve">Ally cannot discern context or intent, so do not worry about a less than perfect score. For example, certain documents in this course contain elements that purposefully violate accessibility guidelines </w:t>
      </w:r>
      <w:r w:rsidR="002D49D1">
        <w:t>for</w:t>
      </w:r>
      <w:r>
        <w:t xml:space="preserve"> </w:t>
      </w:r>
      <w:r w:rsidR="004F3AFC">
        <w:t xml:space="preserve">comparison. </w:t>
      </w:r>
    </w:p>
    <w:p w:rsidR="002D49D1" w:rsidP="002D49D1" w:rsidRDefault="002D49D1" w14:paraId="26CA1CD5" w14:textId="77777777">
      <w:pPr>
        <w:pStyle w:val="Heading2"/>
      </w:pPr>
      <w:r>
        <w:t>Best Practices</w:t>
      </w:r>
    </w:p>
    <w:p w:rsidR="002D49D1" w:rsidP="002D49D1" w:rsidRDefault="002D49D1" w14:paraId="32C0EAB3" w14:textId="77777777">
      <w:pPr>
        <w:pStyle w:val="ListParagraph"/>
        <w:numPr>
          <w:ilvl w:val="0"/>
          <w:numId w:val="1"/>
        </w:numPr>
      </w:pPr>
      <w:r>
        <w:t>Use consistent module structure</w:t>
      </w:r>
    </w:p>
    <w:p w:rsidR="002D49D1" w:rsidP="002D49D1" w:rsidRDefault="002D49D1" w14:paraId="2DF8AE45" w14:textId="77777777">
      <w:pPr>
        <w:pStyle w:val="ListParagraph"/>
        <w:numPr>
          <w:ilvl w:val="0"/>
          <w:numId w:val="1"/>
        </w:numPr>
      </w:pPr>
      <w:r>
        <w:t>Avoid dumping all materials in one long list</w:t>
      </w:r>
    </w:p>
    <w:p w:rsidR="002D49D1" w:rsidP="002D49D1" w:rsidRDefault="002D49D1" w14:paraId="38424D5B" w14:textId="77777777">
      <w:pPr>
        <w:pStyle w:val="ListParagraph"/>
        <w:numPr>
          <w:ilvl w:val="0"/>
          <w:numId w:val="1"/>
        </w:numPr>
      </w:pPr>
      <w:r>
        <w:t>Name items clearly (“Week 3 Discussion” vs. “Discussion 3”)</w:t>
      </w:r>
    </w:p>
    <w:p w:rsidR="002D49D1" w:rsidP="002D49D1" w:rsidRDefault="002D49D1" w14:paraId="629E700D" w14:textId="77777777">
      <w:pPr>
        <w:pStyle w:val="ListParagraph"/>
        <w:numPr>
          <w:ilvl w:val="0"/>
          <w:numId w:val="1"/>
        </w:numPr>
      </w:pPr>
      <w:r>
        <w:t>Keep navigation predictable</w:t>
      </w:r>
    </w:p>
    <w:p w:rsidR="002D49D1" w:rsidP="002D49D1" w:rsidRDefault="002D49D1" w14:paraId="733D9450" w14:textId="77777777">
      <w:pPr>
        <w:pStyle w:val="ListParagraph"/>
        <w:numPr>
          <w:ilvl w:val="0"/>
          <w:numId w:val="1"/>
        </w:numPr>
      </w:pPr>
      <w:r>
        <w:t>Avoid unnecessary nesting</w:t>
      </w:r>
    </w:p>
    <w:p w:rsidR="002D49D1" w:rsidP="002D49D1" w:rsidRDefault="002D49D1" w14:paraId="1C6FA8FE" w14:textId="77777777">
      <w:pPr>
        <w:pStyle w:val="ListParagraph"/>
        <w:numPr>
          <w:ilvl w:val="0"/>
          <w:numId w:val="1"/>
        </w:numPr>
      </w:pPr>
      <w:r>
        <w:t>Due dates help learners stay organized</w:t>
      </w:r>
    </w:p>
    <w:p w:rsidR="002D49D1" w:rsidP="002D49D1" w:rsidRDefault="002D49D1" w14:paraId="5FCF179F" w14:textId="01F10C2D">
      <w:pPr>
        <w:pStyle w:val="Heading3"/>
        <w:rPr>
          <w:b/>
          <w:bCs/>
        </w:rPr>
      </w:pPr>
      <w:r w:rsidRPr="002D49D1">
        <w:rPr>
          <w:b/>
          <w:bCs/>
        </w:rPr>
        <w:t>Multimedia</w:t>
      </w:r>
    </w:p>
    <w:p w:rsidR="002D49D1" w:rsidP="002D49D1" w:rsidRDefault="00874773" w14:paraId="462931EB" w14:textId="447BF267">
      <w:r>
        <w:t>There are three categories of media: audio-only, video-only, and audio + video.</w:t>
      </w:r>
    </w:p>
    <w:p w:rsidR="00874773" w:rsidP="002D49D1" w:rsidRDefault="00874773" w14:paraId="7A932F24" w14:textId="541A44D2">
      <w:r>
        <w:t xml:space="preserve">For </w:t>
      </w:r>
      <w:r>
        <w:rPr>
          <w:b/>
          <w:bCs/>
        </w:rPr>
        <w:t>audio-</w:t>
      </w:r>
      <w:r w:rsidR="00B35AEE">
        <w:rPr>
          <w:b/>
          <w:bCs/>
        </w:rPr>
        <w:t>only</w:t>
      </w:r>
      <w:r w:rsidR="00B35AEE">
        <w:t xml:space="preserve"> content</w:t>
      </w:r>
      <w:r>
        <w:t xml:space="preserve"> there needs to be a transcript or a text alternative. This is for people who are hard of hearing </w:t>
      </w:r>
      <w:r w:rsidR="00B35AEE">
        <w:t xml:space="preserve">or have audio-processing disorders </w:t>
      </w:r>
      <w:r>
        <w:t xml:space="preserve">but </w:t>
      </w:r>
      <w:r w:rsidR="00B35AEE">
        <w:t>it’s also useful for those whose first language is not the one being spoken.</w:t>
      </w:r>
    </w:p>
    <w:p w:rsidR="00B35AEE" w:rsidP="002D49D1" w:rsidRDefault="00B35AEE" w14:paraId="38B4BFF1" w14:textId="7FB48063">
      <w:r>
        <w:lastRenderedPageBreak/>
        <w:t xml:space="preserve">For </w:t>
      </w:r>
      <w:r>
        <w:rPr>
          <w:b/>
          <w:bCs/>
        </w:rPr>
        <w:t>Video-only</w:t>
      </w:r>
      <w:r>
        <w:t xml:space="preserve"> content it is best practice to have audio-description available or a text alternative</w:t>
      </w:r>
      <w:r w:rsidR="00DB2D98">
        <w:t xml:space="preserve">. Audio-description is a time consuming and detailed process that has not yet been automated on most video hosting platforms. </w:t>
      </w:r>
    </w:p>
    <w:p w:rsidR="00DB2D98" w:rsidP="002D49D1" w:rsidRDefault="00DB2D98" w14:paraId="25EBF860" w14:textId="7F754480">
      <w:r>
        <w:t xml:space="preserve">For </w:t>
      </w:r>
      <w:r>
        <w:rPr>
          <w:b/>
          <w:bCs/>
        </w:rPr>
        <w:t>audio and video</w:t>
      </w:r>
      <w:r>
        <w:t xml:space="preserve"> content use captioning </w:t>
      </w:r>
      <w:r w:rsidR="007B32BE">
        <w:t>and audio description when available or have a text alternative.</w:t>
      </w:r>
    </w:p>
    <w:p w:rsidRPr="007B32BE" w:rsidR="007B32BE" w:rsidP="002D49D1" w:rsidRDefault="007B32BE" w14:paraId="101AE58E" w14:textId="716D43B9">
      <w:pPr>
        <w:rPr>
          <w:i/>
          <w:iCs/>
        </w:rPr>
      </w:pPr>
      <w:r>
        <w:rPr>
          <w:i/>
          <w:iCs/>
        </w:rPr>
        <w:t>Tip: close your eyes and listen to the audio, are you able to discern the important points from sound and dialogue alone? If not, provide a text alternative like a summary of the important points.</w:t>
      </w:r>
    </w:p>
    <w:sectPr w:rsidRPr="007B32BE" w:rsidR="007B32B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D58EE" w:rsidP="008F37DF" w:rsidRDefault="00AD58EE" w14:paraId="04D4410B" w14:textId="77777777">
      <w:pPr>
        <w:spacing w:after="0" w:line="240" w:lineRule="auto"/>
      </w:pPr>
      <w:r>
        <w:separator/>
      </w:r>
    </w:p>
  </w:endnote>
  <w:endnote w:type="continuationSeparator" w:id="0">
    <w:p w:rsidR="00AD58EE" w:rsidP="008F37DF" w:rsidRDefault="00AD58EE" w14:paraId="10E4127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T Commons Pro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  <w:font w:name="TT Commons Pro Black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T Commons Pro Light">
    <w:panose1 w:val="020B0103030102020204"/>
    <w:charset w:val="00"/>
    <w:family w:val="swiss"/>
    <w:notTrueType/>
    <w:pitch w:val="variable"/>
    <w:sig w:usb0="A00022EF" w:usb1="5000A4FB" w:usb2="00000000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D58EE" w:rsidP="008F37DF" w:rsidRDefault="00AD58EE" w14:paraId="7407AC34" w14:textId="77777777">
      <w:pPr>
        <w:spacing w:after="0" w:line="240" w:lineRule="auto"/>
      </w:pPr>
      <w:r>
        <w:separator/>
      </w:r>
    </w:p>
  </w:footnote>
  <w:footnote w:type="continuationSeparator" w:id="0">
    <w:p w:rsidR="00AD58EE" w:rsidP="008F37DF" w:rsidRDefault="00AD58EE" w14:paraId="1D35B2C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11C5A"/>
    <w:multiLevelType w:val="hybridMultilevel"/>
    <w:tmpl w:val="A2E4B15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FF8017B"/>
    <w:multiLevelType w:val="hybridMultilevel"/>
    <w:tmpl w:val="030A0FB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562527511">
    <w:abstractNumId w:val="0"/>
  </w:num>
  <w:num w:numId="2" w16cid:durableId="1959800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7DF"/>
    <w:rsid w:val="00141022"/>
    <w:rsid w:val="001B6690"/>
    <w:rsid w:val="0029297A"/>
    <w:rsid w:val="002D19CE"/>
    <w:rsid w:val="002D49D1"/>
    <w:rsid w:val="003C4293"/>
    <w:rsid w:val="004B7911"/>
    <w:rsid w:val="004F3AFC"/>
    <w:rsid w:val="00582D2D"/>
    <w:rsid w:val="005D6588"/>
    <w:rsid w:val="00626F5B"/>
    <w:rsid w:val="00760641"/>
    <w:rsid w:val="00771FF5"/>
    <w:rsid w:val="007859F7"/>
    <w:rsid w:val="00790F5F"/>
    <w:rsid w:val="007B32BE"/>
    <w:rsid w:val="007C3D7B"/>
    <w:rsid w:val="00812CDF"/>
    <w:rsid w:val="0082673D"/>
    <w:rsid w:val="00874773"/>
    <w:rsid w:val="008C0F72"/>
    <w:rsid w:val="008F37DF"/>
    <w:rsid w:val="009039E3"/>
    <w:rsid w:val="0093034A"/>
    <w:rsid w:val="009F0F97"/>
    <w:rsid w:val="00A1781A"/>
    <w:rsid w:val="00A8196D"/>
    <w:rsid w:val="00AD34F2"/>
    <w:rsid w:val="00AD58EE"/>
    <w:rsid w:val="00B35AEE"/>
    <w:rsid w:val="00B96583"/>
    <w:rsid w:val="00C2237C"/>
    <w:rsid w:val="00C31967"/>
    <w:rsid w:val="00C31F39"/>
    <w:rsid w:val="00C7767B"/>
    <w:rsid w:val="00D223B8"/>
    <w:rsid w:val="00D45258"/>
    <w:rsid w:val="00D67E53"/>
    <w:rsid w:val="00DB2D98"/>
    <w:rsid w:val="00E32BBA"/>
    <w:rsid w:val="00EB6F6A"/>
    <w:rsid w:val="01814559"/>
    <w:rsid w:val="01ABC2C7"/>
    <w:rsid w:val="0C761C0F"/>
    <w:rsid w:val="0CFD0328"/>
    <w:rsid w:val="148CBB5A"/>
    <w:rsid w:val="1743F033"/>
    <w:rsid w:val="1CF78A6A"/>
    <w:rsid w:val="1FDF4BB0"/>
    <w:rsid w:val="24E0E493"/>
    <w:rsid w:val="29ADBEFE"/>
    <w:rsid w:val="3118C3DC"/>
    <w:rsid w:val="3F2B23BB"/>
    <w:rsid w:val="427590B6"/>
    <w:rsid w:val="4397E67B"/>
    <w:rsid w:val="4C7523AF"/>
    <w:rsid w:val="4D86BAB0"/>
    <w:rsid w:val="5B1462CE"/>
    <w:rsid w:val="5CA0CDCF"/>
    <w:rsid w:val="5DCD904A"/>
    <w:rsid w:val="613F5270"/>
    <w:rsid w:val="737374E9"/>
    <w:rsid w:val="7530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B6CFD"/>
  <w15:chartTrackingRefBased/>
  <w15:docId w15:val="{5373E76B-0E73-46AD-9F13-599F3AFCC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37DF"/>
    <w:rPr>
      <w:rFonts w:ascii="TT Commons Pro" w:hAnsi="TT Commons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7DF"/>
    <w:pPr>
      <w:keepNext/>
      <w:keepLines/>
      <w:spacing w:before="360" w:after="80"/>
      <w:outlineLvl w:val="0"/>
    </w:pPr>
    <w:rPr>
      <w:rFonts w:ascii="TT Commons Pro Black" w:hAnsi="TT Commons Pro Black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37DF"/>
    <w:pPr>
      <w:keepNext/>
      <w:keepLines/>
      <w:spacing w:before="160" w:after="80"/>
      <w:outlineLvl w:val="1"/>
    </w:pPr>
    <w:rPr>
      <w:rFonts w:eastAsiaTheme="majorEastAsia" w:cstheme="majorBidi"/>
      <w:b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F37DF"/>
    <w:rPr>
      <w:rFonts w:ascii="TT Commons Pro Black" w:hAnsi="TT Commons Pro Black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F37DF"/>
    <w:rPr>
      <w:rFonts w:ascii="TT Commons Pro" w:hAnsi="TT Commons Pro" w:eastAsiaTheme="majorEastAsia" w:cstheme="majorBidi"/>
      <w:b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8F37D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F37D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F37D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F37D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F37D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F37D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F3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7D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F37D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F3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7D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F3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7D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F3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7D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F37DF"/>
    <w:pPr>
      <w:spacing w:after="0" w:line="240" w:lineRule="auto"/>
    </w:pPr>
    <w:rPr>
      <w:rFonts w:ascii="TT Commons Pro" w:hAnsi="TT Commons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Accessibility in Brightspace</dc:title>
  <dc:subject/>
  <dc:creator>Imara Johnson</dc:creator>
  <keywords/>
  <dc:description/>
  <lastModifiedBy>Imara Johnson</lastModifiedBy>
  <revision>8</revision>
  <dcterms:created xsi:type="dcterms:W3CDTF">2026-08-12T17:43:00.0000000Z</dcterms:created>
  <dcterms:modified xsi:type="dcterms:W3CDTF">2026-10-20T16:56:38.5412072Z</dcterms:modified>
</coreProperties>
</file>